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exact" w:before="138"/>
        <w:ind w:left="3376" w:right="3394" w:firstLine="0"/>
        <w:jc w:val="center"/>
      </w:pPr>
      <w:r>
        <w:rPr/>
        <w:t>PRESS</w:t>
      </w:r>
      <w:r>
        <w:rPr>
          <w:spacing w:val="-2"/>
        </w:rPr>
        <w:t> </w:t>
      </w:r>
      <w:r>
        <w:rPr/>
        <w:t>RELEASE</w:t>
      </w:r>
    </w:p>
    <w:p>
      <w:pPr>
        <w:spacing w:line="333" w:lineRule="exact" w:before="0"/>
        <w:ind w:left="3434" w:right="3394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85"/>
          <w:sz w:val="24"/>
          <w:szCs w:val="24"/>
        </w:rPr>
        <w:t>06</w:t>
      </w:r>
      <w:r>
        <w:rPr>
          <w:b/>
          <w:bCs/>
          <w:spacing w:val="17"/>
          <w:w w:val="85"/>
          <w:sz w:val="24"/>
          <w:szCs w:val="24"/>
        </w:rPr>
        <w:t> </w:t>
      </w:r>
      <w:r>
        <w:rPr>
          <w:b/>
          <w:bCs/>
          <w:w w:val="85"/>
          <w:sz w:val="24"/>
          <w:szCs w:val="24"/>
        </w:rPr>
        <w:t>June</w:t>
      </w:r>
      <w:r>
        <w:rPr>
          <w:b/>
          <w:bCs/>
          <w:spacing w:val="16"/>
          <w:w w:val="85"/>
          <w:sz w:val="24"/>
          <w:szCs w:val="24"/>
        </w:rPr>
        <w:t> </w:t>
      </w:r>
      <w:r>
        <w:rPr>
          <w:b/>
          <w:bCs/>
          <w:w w:val="85"/>
          <w:sz w:val="24"/>
          <w:szCs w:val="24"/>
        </w:rPr>
        <w:t>2024</w:t>
      </w:r>
      <w:r>
        <w:rPr>
          <w:b/>
          <w:bCs/>
          <w:spacing w:val="17"/>
          <w:w w:val="85"/>
          <w:sz w:val="24"/>
          <w:szCs w:val="24"/>
        </w:rPr>
        <w:t> </w:t>
      </w:r>
      <w:r>
        <w:rPr>
          <w:b/>
          <w:bCs/>
          <w:w w:val="85"/>
          <w:sz w:val="24"/>
          <w:szCs w:val="24"/>
        </w:rPr>
        <w:t>/</w:t>
      </w:r>
      <w:r>
        <w:rPr>
          <w:b/>
          <w:bCs/>
          <w:spacing w:val="17"/>
          <w:w w:val="85"/>
          <w:sz w:val="24"/>
          <w:szCs w:val="24"/>
        </w:rPr>
        <w:t> </w:t>
      </w:r>
      <w:r>
        <w:rPr>
          <w:b/>
          <w:bCs/>
          <w:w w:val="85"/>
          <w:sz w:val="24"/>
          <w:szCs w:val="24"/>
        </w:rPr>
        <w:t>16</w:t>
      </w:r>
      <w:r>
        <w:rPr>
          <w:b/>
          <w:bCs/>
          <w:spacing w:val="18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w w:val="75"/>
          <w:sz w:val="28"/>
          <w:szCs w:val="28"/>
        </w:rPr>
        <w:t>ज्येष्ठ</w:t>
      </w:r>
      <w:r>
        <w:rPr>
          <w:rFonts w:ascii="Nirmala UI" w:hAnsi="Nirmala UI" w:cs="Nirmala UI" w:eastAsia="Nirmala UI"/>
          <w:b/>
          <w:bCs/>
          <w:spacing w:val="12"/>
          <w:w w:val="75"/>
          <w:sz w:val="28"/>
          <w:szCs w:val="28"/>
        </w:rPr>
        <w:t> </w:t>
      </w:r>
      <w:r>
        <w:rPr>
          <w:b/>
          <w:bCs/>
          <w:w w:val="85"/>
          <w:sz w:val="24"/>
          <w:szCs w:val="24"/>
        </w:rPr>
        <w:t>1946</w:t>
      </w:r>
    </w:p>
    <w:p>
      <w:pPr>
        <w:pStyle w:val="Heading1"/>
        <w:spacing w:before="210"/>
        <w:ind w:left="443" w:firstLine="0"/>
        <w:jc w:val="both"/>
      </w:pPr>
      <w:r>
        <w:rPr/>
        <w:t>Regarding</w:t>
      </w:r>
      <w:r>
        <w:rPr>
          <w:spacing w:val="-1"/>
        </w:rPr>
        <w:t> </w:t>
      </w:r>
      <w:r>
        <w:rPr/>
        <w:t>queries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NEET</w:t>
      </w:r>
      <w:r>
        <w:rPr>
          <w:spacing w:val="-1"/>
        </w:rPr>
        <w:t> </w:t>
      </w:r>
      <w:r>
        <w:rPr/>
        <w:t>(UG)</w:t>
      </w:r>
      <w:r>
        <w:rPr>
          <w:spacing w:val="-1"/>
        </w:rPr>
        <w:t> </w:t>
      </w:r>
      <w:r>
        <w:rPr/>
        <w:t>2024</w:t>
      </w:r>
      <w:r>
        <w:rPr>
          <w:spacing w:val="2"/>
        </w:rPr>
        <w:t> </w:t>
      </w:r>
      <w:r>
        <w:rPr/>
        <w:t>Result</w:t>
      </w:r>
      <w:r>
        <w:rPr>
          <w:spacing w:val="-1"/>
        </w:rPr>
        <w:t> </w:t>
      </w:r>
      <w:r>
        <w:rPr/>
        <w:t>declared on</w:t>
      </w:r>
      <w:r>
        <w:rPr>
          <w:spacing w:val="-1"/>
        </w:rPr>
        <w:t> </w:t>
      </w:r>
      <w:r>
        <w:rPr/>
        <w:t>04 June</w:t>
      </w:r>
      <w:r>
        <w:rPr>
          <w:spacing w:val="-2"/>
        </w:rPr>
        <w:t> </w:t>
      </w:r>
      <w:r>
        <w:rPr/>
        <w:t>2024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76" w:lineRule="auto"/>
        <w:ind w:left="100" w:right="116"/>
        <w:jc w:val="both"/>
      </w:pPr>
      <w:r>
        <w:rPr/>
        <w:t>The NEET (UG) - 2024 was conducted by the National Testing Agency (NTA) on 05 May 2024</w:t>
      </w:r>
      <w:r>
        <w:rPr>
          <w:spacing w:val="1"/>
        </w:rPr>
        <w:t> </w:t>
      </w:r>
      <w:r>
        <w:rPr/>
        <w:t>from</w:t>
      </w:r>
      <w:r>
        <w:rPr>
          <w:spacing w:val="-6"/>
        </w:rPr>
        <w:t> </w:t>
      </w:r>
      <w:r>
        <w:rPr/>
        <w:t>02:00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05:20</w:t>
      </w:r>
      <w:r>
        <w:rPr>
          <w:spacing w:val="-5"/>
        </w:rPr>
        <w:t> </w:t>
      </w:r>
      <w:r>
        <w:rPr/>
        <w:t>P.M.</w:t>
      </w:r>
      <w:r>
        <w:rPr>
          <w:spacing w:val="-6"/>
        </w:rPr>
        <w:t> </w:t>
      </w:r>
      <w:r>
        <w:rPr/>
        <w:t>(IST)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4750</w:t>
      </w:r>
      <w:r>
        <w:rPr>
          <w:spacing w:val="-5"/>
        </w:rPr>
        <w:t> </w:t>
      </w:r>
      <w:r>
        <w:rPr/>
        <w:t>Centres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571</w:t>
      </w:r>
      <w:r>
        <w:rPr>
          <w:spacing w:val="-5"/>
        </w:rPr>
        <w:t> </w:t>
      </w:r>
      <w:r>
        <w:rPr/>
        <w:t>cities</w:t>
      </w:r>
      <w:r>
        <w:rPr>
          <w:spacing w:val="-6"/>
        </w:rPr>
        <w:t> </w:t>
      </w:r>
      <w:r>
        <w:rPr/>
        <w:t>(including</w:t>
      </w:r>
      <w:r>
        <w:rPr>
          <w:spacing w:val="-6"/>
        </w:rPr>
        <w:t> </w:t>
      </w:r>
      <w:r>
        <w:rPr/>
        <w:t>14</w:t>
      </w:r>
      <w:r>
        <w:rPr>
          <w:spacing w:val="-3"/>
        </w:rPr>
        <w:t> </w:t>
      </w:r>
      <w:r>
        <w:rPr/>
        <w:t>cities</w:t>
      </w:r>
      <w:r>
        <w:rPr>
          <w:spacing w:val="-6"/>
        </w:rPr>
        <w:t> </w:t>
      </w:r>
      <w:r>
        <w:rPr/>
        <w:t>abroad)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more</w:t>
      </w:r>
      <w:r>
        <w:rPr>
          <w:spacing w:val="-58"/>
        </w:rPr>
        <w:t> </w:t>
      </w:r>
      <w:r>
        <w:rPr/>
        <w:t>than</w:t>
      </w:r>
      <w:r>
        <w:rPr>
          <w:spacing w:val="-1"/>
        </w:rPr>
        <w:t> </w:t>
      </w:r>
      <w:r>
        <w:rPr/>
        <w:t>24 lakhs candidates.</w:t>
      </w:r>
    </w:p>
    <w:p>
      <w:pPr>
        <w:pStyle w:val="BodyText"/>
        <w:spacing w:line="276" w:lineRule="auto" w:before="162"/>
        <w:ind w:left="100" w:right="116"/>
        <w:jc w:val="both"/>
      </w:pPr>
      <w:r>
        <w:rPr/>
        <w:t>In</w:t>
      </w:r>
      <w:r>
        <w:rPr>
          <w:spacing w:val="-2"/>
        </w:rPr>
        <w:t> </w:t>
      </w:r>
      <w:r>
        <w:rPr/>
        <w:t>light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/>
        <w:t>queries raised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candidates, it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felt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clarifications: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59" w:after="0"/>
        <w:ind w:left="460" w:right="0" w:hanging="361"/>
        <w:jc w:val="both"/>
      </w:pPr>
      <w:r>
        <w:rPr/>
        <w:t>Cut-off</w:t>
      </w:r>
      <w:r>
        <w:rPr>
          <w:spacing w:val="-3"/>
        </w:rPr>
        <w:t> </w:t>
      </w:r>
      <w:r>
        <w:rPr/>
        <w:t>of NEET</w:t>
      </w:r>
      <w:r>
        <w:rPr>
          <w:spacing w:val="-1"/>
        </w:rPr>
        <w:t> </w:t>
      </w:r>
      <w:r>
        <w:rPr/>
        <w:t>(UG)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spacing w:line="276" w:lineRule="auto" w:before="41"/>
        <w:ind w:left="460" w:right="115"/>
        <w:jc w:val="both"/>
      </w:pPr>
      <w:r>
        <w:rPr/>
        <w:t>The cutoff scores are determined based on the overall performance of candidates each year.</w:t>
      </w:r>
      <w:r>
        <w:rPr>
          <w:spacing w:val="1"/>
        </w:rPr>
        <w:t> </w:t>
      </w:r>
      <w:r>
        <w:rPr/>
        <w:t>The increase in cutoff reflects the competitive nature of the examination and the higher</w:t>
      </w:r>
      <w:r>
        <w:rPr>
          <w:spacing w:val="1"/>
        </w:rPr>
        <w:t> </w:t>
      </w:r>
      <w:r>
        <w:rPr/>
        <w:t>performance standards achieved by the candidates this year. Cut-offs and average marks of</w:t>
      </w:r>
      <w:r>
        <w:rPr>
          <w:spacing w:val="1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candidates (out</w:t>
      </w:r>
      <w:r>
        <w:rPr>
          <w:spacing w:val="2"/>
        </w:rPr>
        <w:t> </w:t>
      </w:r>
      <w:r>
        <w:rPr/>
        <w:t>of 720)</w:t>
      </w:r>
      <w:r>
        <w:rPr>
          <w:spacing w:val="-2"/>
        </w:rPr>
        <w:t> </w:t>
      </w:r>
      <w:r>
        <w:rPr/>
        <w:t>vary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/>
        <w:t>year, as</w:t>
      </w:r>
      <w:r>
        <w:rPr>
          <w:spacing w:val="-1"/>
        </w:rPr>
        <w:t> </w:t>
      </w:r>
      <w:r>
        <w:rPr/>
        <w:t>illustrated below: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2720"/>
        <w:gridCol w:w="2609"/>
      </w:tblGrid>
      <w:tr>
        <w:trPr>
          <w:trHeight w:val="827" w:hRule="atLeast"/>
        </w:trPr>
        <w:tc>
          <w:tcPr>
            <w:tcW w:w="2047" w:type="dxa"/>
          </w:tcPr>
          <w:p>
            <w:pPr>
              <w:pStyle w:val="TableParagraph"/>
              <w:spacing w:line="275" w:lineRule="exact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Exam</w:t>
            </w:r>
          </w:p>
        </w:tc>
        <w:tc>
          <w:tcPr>
            <w:tcW w:w="2720" w:type="dxa"/>
          </w:tcPr>
          <w:p>
            <w:pPr>
              <w:pStyle w:val="TableParagraph"/>
              <w:spacing w:line="27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720 of qualified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candidates</w:t>
            </w:r>
          </w:p>
        </w:tc>
        <w:tc>
          <w:tcPr>
            <w:tcW w:w="2609" w:type="dxa"/>
          </w:tcPr>
          <w:p>
            <w:pPr>
              <w:pStyle w:val="TableParagraph"/>
              <w:spacing w:line="240" w:lineRule="auto"/>
              <w:ind w:left="105" w:right="96" w:firstLine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Minimum score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qualify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Category</w:t>
            </w:r>
          </w:p>
        </w:tc>
      </w:tr>
      <w:tr>
        <w:trPr>
          <w:trHeight w:val="275" w:hRule="atLeast"/>
        </w:trPr>
        <w:tc>
          <w:tcPr>
            <w:tcW w:w="2047" w:type="dxa"/>
          </w:tcPr>
          <w:p>
            <w:pPr>
              <w:pStyle w:val="TableParagraph"/>
              <w:spacing w:line="255" w:lineRule="exact"/>
              <w:ind w:right="28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20" w:type="dxa"/>
          </w:tcPr>
          <w:p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297.18</w:t>
            </w:r>
          </w:p>
        </w:tc>
        <w:tc>
          <w:tcPr>
            <w:tcW w:w="2609" w:type="dxa"/>
          </w:tcPr>
          <w:p>
            <w:pPr>
              <w:pStyle w:val="TableParagraph"/>
              <w:spacing w:line="255" w:lineRule="exact"/>
              <w:ind w:left="1100" w:right="10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>
        <w:trPr>
          <w:trHeight w:val="278" w:hRule="atLeast"/>
        </w:trPr>
        <w:tc>
          <w:tcPr>
            <w:tcW w:w="2047" w:type="dxa"/>
          </w:tcPr>
          <w:p>
            <w:pPr>
              <w:pStyle w:val="TableParagraph"/>
              <w:spacing w:line="257" w:lineRule="exact" w:before="1"/>
              <w:ind w:right="28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720" w:type="dxa"/>
          </w:tcPr>
          <w:p>
            <w:pPr>
              <w:pStyle w:val="TableParagraph"/>
              <w:spacing w:line="257" w:lineRule="exact" w:before="1"/>
              <w:ind w:left="235"/>
              <w:rPr>
                <w:sz w:val="24"/>
              </w:rPr>
            </w:pPr>
            <w:r>
              <w:rPr>
                <w:sz w:val="24"/>
              </w:rPr>
              <w:t>286.13</w:t>
            </w:r>
          </w:p>
        </w:tc>
        <w:tc>
          <w:tcPr>
            <w:tcW w:w="2609" w:type="dxa"/>
          </w:tcPr>
          <w:p>
            <w:pPr>
              <w:pStyle w:val="TableParagraph"/>
              <w:spacing w:line="257" w:lineRule="exact" w:before="1"/>
              <w:ind w:left="1100" w:right="10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>
        <w:trPr>
          <w:trHeight w:val="275" w:hRule="atLeast"/>
        </w:trPr>
        <w:tc>
          <w:tcPr>
            <w:tcW w:w="2047" w:type="dxa"/>
          </w:tcPr>
          <w:p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2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259.00</w:t>
            </w:r>
          </w:p>
        </w:tc>
        <w:tc>
          <w:tcPr>
            <w:tcW w:w="2609" w:type="dxa"/>
          </w:tcPr>
          <w:p>
            <w:pPr>
              <w:pStyle w:val="TableParagraph"/>
              <w:ind w:left="1100" w:right="10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275" w:hRule="atLeast"/>
        </w:trPr>
        <w:tc>
          <w:tcPr>
            <w:tcW w:w="2047" w:type="dxa"/>
          </w:tcPr>
          <w:p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72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279.41</w:t>
            </w:r>
          </w:p>
        </w:tc>
        <w:tc>
          <w:tcPr>
            <w:tcW w:w="2609" w:type="dxa"/>
          </w:tcPr>
          <w:p>
            <w:pPr>
              <w:pStyle w:val="TableParagraph"/>
              <w:ind w:left="1100" w:right="10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>
        <w:trPr>
          <w:trHeight w:val="276" w:hRule="atLeast"/>
        </w:trPr>
        <w:tc>
          <w:tcPr>
            <w:tcW w:w="2047" w:type="dxa"/>
          </w:tcPr>
          <w:p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72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323.55</w:t>
            </w:r>
          </w:p>
        </w:tc>
        <w:tc>
          <w:tcPr>
            <w:tcW w:w="2609" w:type="dxa"/>
          </w:tcPr>
          <w:p>
            <w:pPr>
              <w:pStyle w:val="TableParagraph"/>
              <w:ind w:left="1100" w:right="10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</w:pPr>
      <w:r>
        <w:rPr/>
        <w:t>Compensatory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spacing w:line="276" w:lineRule="auto" w:before="43"/>
        <w:ind w:left="460" w:right="113"/>
        <w:jc w:val="both"/>
      </w:pPr>
      <w:r>
        <w:rPr/>
        <w:t>Few</w:t>
      </w:r>
      <w:r>
        <w:rPr>
          <w:spacing w:val="-2"/>
        </w:rPr>
        <w:t> </w:t>
      </w:r>
      <w:r>
        <w:rPr/>
        <w:t>Writ</w:t>
      </w:r>
      <w:r>
        <w:rPr>
          <w:spacing w:val="-2"/>
        </w:rPr>
        <w:t> </w:t>
      </w:r>
      <w:r>
        <w:rPr/>
        <w:t>Petitions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filed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NEET</w:t>
      </w:r>
      <w:r>
        <w:rPr>
          <w:spacing w:val="-2"/>
        </w:rPr>
        <w:t> </w:t>
      </w:r>
      <w:r>
        <w:rPr/>
        <w:t>(UG)</w:t>
      </w:r>
      <w:r>
        <w:rPr>
          <w:spacing w:val="-4"/>
        </w:rPr>
        <w:t> </w:t>
      </w:r>
      <w:r>
        <w:rPr/>
        <w:t>2024</w:t>
      </w:r>
      <w:r>
        <w:rPr>
          <w:spacing w:val="-2"/>
        </w:rPr>
        <w:t> </w:t>
      </w:r>
      <w:r>
        <w:rPr/>
        <w:t>before the</w:t>
      </w:r>
      <w:r>
        <w:rPr>
          <w:spacing w:val="-1"/>
        </w:rPr>
        <w:t> </w:t>
      </w:r>
      <w:r>
        <w:rPr/>
        <w:t>Hon’ble</w:t>
      </w:r>
      <w:r>
        <w:rPr>
          <w:spacing w:val="-2"/>
        </w:rPr>
        <w:t> </w:t>
      </w:r>
      <w:r>
        <w:rPr/>
        <w:t>High</w:t>
      </w:r>
      <w:r>
        <w:rPr>
          <w:spacing w:val="-58"/>
        </w:rPr>
        <w:t> </w:t>
      </w:r>
      <w:r>
        <w:rPr/>
        <w:t>Court of Punjab &amp; Haryana, Delhi, and Chhattisgarh, raising concerns of loss of exam time</w:t>
      </w:r>
      <w:r>
        <w:rPr>
          <w:spacing w:val="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conduct of NEET</w:t>
      </w:r>
      <w:r>
        <w:rPr>
          <w:spacing w:val="-1"/>
        </w:rPr>
        <w:t> </w:t>
      </w:r>
      <w:r>
        <w:rPr/>
        <w:t>(UG) 2024 on 05.05.2024,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few Exam Centres.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60" w:right="120"/>
        <w:jc w:val="both"/>
      </w:pPr>
      <w:r>
        <w:rPr/>
        <w:t>The</w:t>
      </w:r>
      <w:r>
        <w:rPr>
          <w:spacing w:val="1"/>
        </w:rPr>
        <w:t> </w:t>
      </w:r>
      <w:r>
        <w:rPr/>
        <w:t>concerns</w:t>
      </w:r>
      <w:r>
        <w:rPr>
          <w:spacing w:val="1"/>
        </w:rPr>
        <w:t> </w:t>
      </w:r>
      <w:r>
        <w:rPr/>
        <w:t>raised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candidates,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Writ</w:t>
      </w:r>
      <w:r>
        <w:rPr>
          <w:spacing w:val="1"/>
        </w:rPr>
        <w:t> </w:t>
      </w:r>
      <w:r>
        <w:rPr/>
        <w:t>Petitions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representations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NTA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careful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redressal.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Grievance</w:t>
      </w:r>
      <w:r>
        <w:rPr>
          <w:spacing w:val="1"/>
        </w:rPr>
        <w:t> </w:t>
      </w:r>
      <w:r>
        <w:rPr/>
        <w:t>Redressal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eminent</w:t>
      </w:r>
      <w:r>
        <w:rPr>
          <w:spacing w:val="1"/>
        </w:rPr>
        <w:t> </w:t>
      </w:r>
      <w:r>
        <w:rPr/>
        <w:t>experts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academia, was constituted to look into such grievances/representations and to submit its</w:t>
      </w:r>
      <w:r>
        <w:rPr>
          <w:spacing w:val="1"/>
        </w:rPr>
        <w:t> </w:t>
      </w:r>
      <w:r>
        <w:rPr/>
        <w:t>recommendations.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473" w:footer="1314" w:top="2560" w:bottom="1500" w:left="1340" w:right="1320"/>
          <w:pgNumType w:start="1"/>
        </w:sectPr>
      </w:pPr>
    </w:p>
    <w:p>
      <w:pPr>
        <w:pStyle w:val="BodyText"/>
        <w:spacing w:line="276" w:lineRule="auto" w:before="138"/>
        <w:ind w:left="460" w:right="115"/>
        <w:jc w:val="both"/>
      </w:pPr>
      <w:r>
        <w:rPr/>
        <w:t>The</w:t>
      </w:r>
      <w:r>
        <w:rPr>
          <w:spacing w:val="-9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grievances/representations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factual</w:t>
      </w:r>
      <w:r>
        <w:rPr>
          <w:spacing w:val="-6"/>
        </w:rPr>
        <w:t> </w:t>
      </w:r>
      <w:r>
        <w:rPr/>
        <w:t>reports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functionaries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CCTV</w:t>
      </w:r>
      <w:r>
        <w:rPr>
          <w:spacing w:val="-10"/>
        </w:rPr>
        <w:t> </w:t>
      </w:r>
      <w:r>
        <w:rPr/>
        <w:t>footages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concerned</w:t>
      </w:r>
      <w:r>
        <w:rPr>
          <w:spacing w:val="-7"/>
        </w:rPr>
        <w:t> </w:t>
      </w:r>
      <w:r>
        <w:rPr/>
        <w:t>exam</w:t>
      </w:r>
      <w:r>
        <w:rPr>
          <w:spacing w:val="-7"/>
        </w:rPr>
        <w:t> </w:t>
      </w:r>
      <w:r>
        <w:rPr/>
        <w:t>Centres.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loss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examination</w:t>
      </w:r>
      <w:r>
        <w:rPr>
          <w:spacing w:val="-10"/>
        </w:rPr>
        <w:t> </w:t>
      </w:r>
      <w:r>
        <w:rPr/>
        <w:t>time</w:t>
      </w:r>
      <w:r>
        <w:rPr>
          <w:spacing w:val="-58"/>
        </w:rPr>
        <w:t> </w:t>
      </w:r>
      <w:r>
        <w:rPr/>
        <w:t>was ascertained and such candidates were compensated with marks based on their answering</w:t>
      </w:r>
      <w:r>
        <w:rPr>
          <w:spacing w:val="1"/>
        </w:rPr>
        <w:t> </w:t>
      </w:r>
      <w:r>
        <w:rPr/>
        <w:t>efficiency and time lost, as per the mechanism/ formula established by the Hon’ble Apex</w:t>
      </w:r>
      <w:r>
        <w:rPr>
          <w:spacing w:val="1"/>
        </w:rPr>
        <w:t> </w:t>
      </w:r>
      <w:r>
        <w:rPr/>
        <w:t>Court,</w:t>
      </w:r>
      <w:r>
        <w:rPr>
          <w:spacing w:val="1"/>
        </w:rPr>
        <w:t> </w:t>
      </w:r>
      <w:r>
        <w:rPr/>
        <w:t>vide its</w:t>
      </w:r>
      <w:r>
        <w:rPr>
          <w:spacing w:val="1"/>
        </w:rPr>
        <w:t> </w:t>
      </w:r>
      <w:r>
        <w:rPr/>
        <w:t>judgment</w:t>
      </w:r>
      <w:r>
        <w:rPr>
          <w:spacing w:val="1"/>
        </w:rPr>
        <w:t> </w:t>
      </w:r>
      <w:r>
        <w:rPr/>
        <w:t>dated 13.06.2018</w:t>
      </w:r>
      <w:r>
        <w:rPr>
          <w:spacing w:val="1"/>
        </w:rPr>
        <w:t> </w:t>
      </w:r>
      <w:r>
        <w:rPr/>
        <w:t>in W.P.</w:t>
      </w:r>
      <w:r>
        <w:rPr>
          <w:spacing w:val="1"/>
        </w:rPr>
        <w:t> </w:t>
      </w:r>
      <w:r>
        <w:rPr/>
        <w:t>551</w:t>
      </w:r>
      <w:r>
        <w:rPr>
          <w:spacing w:val="1"/>
        </w:rPr>
        <w:t> </w:t>
      </w:r>
      <w:r>
        <w:rPr/>
        <w:t>of 2018.</w:t>
      </w:r>
      <w:r>
        <w:rPr>
          <w:spacing w:val="1"/>
        </w:rPr>
        <w:t> </w:t>
      </w:r>
      <w:r>
        <w:rPr/>
        <w:t>1563</w:t>
      </w:r>
      <w:r>
        <w:rPr>
          <w:spacing w:val="1"/>
        </w:rPr>
        <w:t> </w:t>
      </w:r>
      <w:r>
        <w:rPr/>
        <w:t>candidates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compensated for the loss of time and the revised marks of such candidates vary from -20 to</w:t>
      </w:r>
      <w:r>
        <w:rPr>
          <w:spacing w:val="1"/>
        </w:rPr>
        <w:t> </w:t>
      </w:r>
      <w:r>
        <w:rPr/>
        <w:t>720</w:t>
      </w:r>
      <w:r>
        <w:rPr>
          <w:spacing w:val="-2"/>
        </w:rPr>
        <w:t> </w:t>
      </w:r>
      <w:r>
        <w:rPr/>
        <w:t>marks.</w:t>
      </w:r>
      <w:r>
        <w:rPr>
          <w:spacing w:val="-1"/>
        </w:rPr>
        <w:t> </w:t>
      </w:r>
      <w:r>
        <w:rPr/>
        <w:t>Amongst</w:t>
      </w:r>
      <w:r>
        <w:rPr>
          <w:spacing w:val="-1"/>
        </w:rPr>
        <w:t> </w:t>
      </w:r>
      <w:r>
        <w:rPr/>
        <w:t>these,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score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happens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718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719</w:t>
      </w:r>
      <w:r>
        <w:rPr>
          <w:spacing w:val="-1"/>
        </w:rPr>
        <w:t> </w:t>
      </w:r>
      <w:r>
        <w:rPr/>
        <w:t>marks</w:t>
      </w:r>
      <w:r>
        <w:rPr>
          <w:spacing w:val="-57"/>
        </w:rPr>
        <w:t> </w:t>
      </w:r>
      <w:r>
        <w:rPr/>
        <w:t>respectively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 compensatory marks.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60" w:right="120"/>
        <w:jc w:val="both"/>
      </w:pPr>
      <w:r>
        <w:rPr/>
        <w:t>On the analysis of the CCTV footage, it was ascertained that the integrity of the examination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not compromised at</w:t>
      </w:r>
      <w:r>
        <w:rPr>
          <w:spacing w:val="2"/>
        </w:rPr>
        <w:t> </w:t>
      </w:r>
      <w:r>
        <w:rPr/>
        <w:t>these Centres.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</w:pPr>
      <w:r>
        <w:rPr/>
        <w:t>Toppers</w:t>
      </w:r>
      <w:r>
        <w:rPr>
          <w:spacing w:val="-2"/>
        </w:rPr>
        <w:t> </w:t>
      </w:r>
      <w:r>
        <w:rPr/>
        <w:t>in NEET</w:t>
      </w:r>
      <w:r>
        <w:rPr>
          <w:spacing w:val="-1"/>
        </w:rPr>
        <w:t> </w:t>
      </w:r>
      <w:r>
        <w:rPr/>
        <w:t>(UG)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spacing w:line="276" w:lineRule="auto" w:before="43"/>
        <w:ind w:left="460" w:right="120"/>
        <w:jc w:val="both"/>
      </w:pP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candidates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appeared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20,38,596,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appeared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23,33,297.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naturally</w:t>
      </w:r>
      <w:r>
        <w:rPr>
          <w:spacing w:val="-58"/>
        </w:rPr>
        <w:t> </w:t>
      </w:r>
      <w:r>
        <w:rPr/>
        <w:t>led</w:t>
      </w:r>
      <w:r>
        <w:rPr>
          <w:spacing w:val="-1"/>
        </w:rPr>
        <w:t> </w:t>
      </w:r>
      <w:r>
        <w:rPr/>
        <w:t>to an increase</w:t>
      </w:r>
      <w:r>
        <w:rPr>
          <w:spacing w:val="-1"/>
        </w:rPr>
        <w:t> </w:t>
      </w:r>
      <w:r>
        <w:rPr/>
        <w:t>in high</w:t>
      </w:r>
      <w:r>
        <w:rPr>
          <w:spacing w:val="2"/>
        </w:rPr>
        <w:t> </w:t>
      </w:r>
      <w:r>
        <w:rPr/>
        <w:t>scorers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 a larger pool of</w:t>
      </w:r>
      <w:r>
        <w:rPr>
          <w:spacing w:val="-1"/>
        </w:rPr>
        <w:t> </w:t>
      </w:r>
      <w:r>
        <w:rPr/>
        <w:t>candidates.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60" w:right="112"/>
        <w:jc w:val="both"/>
      </w:pPr>
      <w:r>
        <w:rPr/>
        <w:t>NTA</w:t>
      </w:r>
      <w:r>
        <w:rPr>
          <w:spacing w:val="-12"/>
        </w:rPr>
        <w:t> </w:t>
      </w:r>
      <w:r>
        <w:rPr/>
        <w:t>received</w:t>
      </w:r>
      <w:r>
        <w:rPr>
          <w:spacing w:val="-11"/>
        </w:rPr>
        <w:t> </w:t>
      </w:r>
      <w:r>
        <w:rPr/>
        <w:t>13,373</w:t>
      </w:r>
      <w:r>
        <w:rPr>
          <w:spacing w:val="-10"/>
        </w:rPr>
        <w:t> </w:t>
      </w:r>
      <w:r>
        <w:rPr/>
        <w:t>challenges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provisional</w:t>
      </w:r>
      <w:r>
        <w:rPr>
          <w:spacing w:val="-13"/>
        </w:rPr>
        <w:t> </w:t>
      </w:r>
      <w:r>
        <w:rPr/>
        <w:t>answer</w:t>
      </w:r>
      <w:r>
        <w:rPr>
          <w:spacing w:val="-12"/>
        </w:rPr>
        <w:t> </w:t>
      </w:r>
      <w:r>
        <w:rPr/>
        <w:t>key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question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Physics.</w:t>
      </w:r>
      <w:r>
        <w:rPr>
          <w:spacing w:val="-11"/>
        </w:rPr>
        <w:t> </w:t>
      </w:r>
      <w:r>
        <w:rPr/>
        <w:t>Due</w:t>
      </w:r>
      <w:r>
        <w:rPr>
          <w:spacing w:val="-57"/>
        </w:rPr>
        <w:t> </w:t>
      </w:r>
      <w:r>
        <w:rPr/>
        <w:t>to the differences in the old and new editions of the NCERT textbook, the Subject Expert(s)</w:t>
      </w:r>
      <w:r>
        <w:rPr>
          <w:spacing w:val="1"/>
        </w:rPr>
        <w:t> </w:t>
      </w:r>
      <w:r>
        <w:rPr/>
        <w:t>held</w:t>
      </w:r>
      <w:r>
        <w:rPr>
          <w:spacing w:val="-1"/>
        </w:rPr>
        <w:t> </w:t>
      </w:r>
      <w:r>
        <w:rPr/>
        <w:t>that two options 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as correct in place</w:t>
      </w:r>
      <w:r>
        <w:rPr>
          <w:spacing w:val="-1"/>
        </w:rPr>
        <w:t> </w:t>
      </w:r>
      <w:r>
        <w:rPr/>
        <w:t>of one</w:t>
      </w:r>
      <w:r>
        <w:rPr>
          <w:spacing w:val="-1"/>
        </w:rPr>
        <w:t> </w:t>
      </w:r>
      <w:r>
        <w:rPr/>
        <w:t>option for</w:t>
      </w:r>
      <w:r>
        <w:rPr>
          <w:spacing w:val="-2"/>
        </w:rPr>
        <w:t> </w:t>
      </w:r>
      <w:r>
        <w:rPr/>
        <w:t>this Question.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60" w:right="121"/>
        <w:jc w:val="both"/>
      </w:pPr>
      <w:r>
        <w:rPr/>
        <w:t>Out of the 67 candidates who got 720/720 marks, 44 are on account of the revision in one</w:t>
      </w:r>
      <w:r>
        <w:rPr>
          <w:spacing w:val="1"/>
        </w:rPr>
        <w:t> </w:t>
      </w:r>
      <w:r>
        <w:rPr/>
        <w:t>Answer</w:t>
      </w:r>
      <w:r>
        <w:rPr>
          <w:spacing w:val="-1"/>
        </w:rPr>
        <w:t> </w:t>
      </w:r>
      <w:r>
        <w:rPr/>
        <w:t>Key of Physics</w:t>
      </w:r>
      <w:r>
        <w:rPr>
          <w:spacing w:val="-1"/>
        </w:rPr>
        <w:t> </w:t>
      </w:r>
      <w:r>
        <w:rPr/>
        <w:t>and 06 are</w:t>
      </w:r>
      <w:r>
        <w:rPr>
          <w:spacing w:val="-3"/>
        </w:rPr>
        <w:t> </w:t>
      </w:r>
      <w:r>
        <w:rPr/>
        <w:t>on account of compensatory marks for</w:t>
      </w:r>
      <w:r>
        <w:rPr>
          <w:spacing w:val="-1"/>
        </w:rPr>
        <w:t> </w:t>
      </w:r>
      <w:r>
        <w:rPr/>
        <w:t>loss of time.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460" w:right="119"/>
        <w:jc w:val="both"/>
      </w:pPr>
      <w:r>
        <w:rPr/>
        <w:t>It is pertinent to mention that the toppers are from across the country, as highlighted in the</w:t>
      </w:r>
      <w:r>
        <w:rPr>
          <w:spacing w:val="1"/>
        </w:rPr>
        <w:t> </w:t>
      </w:r>
      <w:r>
        <w:rPr/>
        <w:t>Press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dated 04.06.2024.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Declaration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04.06.2024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Transparency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process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 w:before="1"/>
        <w:ind w:left="460" w:right="115"/>
        <w:jc w:val="both"/>
      </w:pPr>
      <w:r>
        <w:rPr/>
        <w:t>As per practice, the result of NTA Examinations including NEET (UG) is declared at the</w:t>
      </w:r>
      <w:r>
        <w:rPr>
          <w:spacing w:val="1"/>
        </w:rPr>
        <w:t> </w:t>
      </w:r>
      <w:r>
        <w:rPr/>
        <w:t>earliest on the completion of the necessary checks in the result processing post the Answer</w:t>
      </w:r>
      <w:r>
        <w:rPr>
          <w:spacing w:val="1"/>
        </w:rPr>
        <w:t> </w:t>
      </w:r>
      <w:r>
        <w:rPr/>
        <w:t>Key</w:t>
      </w:r>
      <w:r>
        <w:rPr>
          <w:spacing w:val="-7"/>
        </w:rPr>
        <w:t> </w:t>
      </w:r>
      <w:r>
        <w:rPr/>
        <w:t>challenge</w:t>
      </w:r>
      <w:r>
        <w:rPr>
          <w:spacing w:val="-7"/>
        </w:rPr>
        <w:t> </w:t>
      </w:r>
      <w:r>
        <w:rPr/>
        <w:t>period.</w:t>
      </w:r>
      <w:r>
        <w:rPr>
          <w:spacing w:val="-6"/>
        </w:rPr>
        <w:t> </w:t>
      </w:r>
      <w:r>
        <w:rPr/>
        <w:t>NTA</w:t>
      </w:r>
      <w:r>
        <w:rPr>
          <w:spacing w:val="-7"/>
        </w:rPr>
        <w:t> </w:t>
      </w:r>
      <w:r>
        <w:rPr/>
        <w:t>managed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declare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about</w:t>
      </w:r>
      <w:r>
        <w:rPr>
          <w:spacing w:val="-9"/>
        </w:rPr>
        <w:t> </w:t>
      </w:r>
      <w:r>
        <w:rPr/>
        <w:t>23</w:t>
      </w:r>
      <w:r>
        <w:rPr>
          <w:spacing w:val="-6"/>
        </w:rPr>
        <w:t> </w:t>
      </w:r>
      <w:r>
        <w:rPr/>
        <w:t>lakh</w:t>
      </w:r>
      <w:r>
        <w:rPr>
          <w:spacing w:val="-6"/>
        </w:rPr>
        <w:t> </w:t>
      </w:r>
      <w:r>
        <w:rPr/>
        <w:t>candidates</w:t>
      </w:r>
      <w:r>
        <w:rPr>
          <w:spacing w:val="-6"/>
        </w:rPr>
        <w:t> </w:t>
      </w:r>
      <w:r>
        <w:rPr/>
        <w:t>within</w:t>
      </w:r>
      <w:r>
        <w:rPr>
          <w:spacing w:val="-58"/>
        </w:rPr>
        <w:t> </w:t>
      </w:r>
      <w:r>
        <w:rPr/>
        <w:t>30 days. The Result of JEE (Main) 2024 Session-1 was declared in 11 days and of Session-2</w:t>
      </w:r>
      <w:r>
        <w:rPr>
          <w:spacing w:val="1"/>
        </w:rPr>
        <w:t> </w:t>
      </w:r>
      <w:r>
        <w:rPr/>
        <w:t>(combined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Session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1)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declared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15</w:t>
      </w:r>
      <w:r>
        <w:rPr>
          <w:spacing w:val="-10"/>
        </w:rPr>
        <w:t> </w:t>
      </w:r>
      <w:r>
        <w:rPr/>
        <w:t>days.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Result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NEET</w:t>
      </w:r>
      <w:r>
        <w:rPr>
          <w:spacing w:val="-8"/>
        </w:rPr>
        <w:t> </w:t>
      </w:r>
      <w:r>
        <w:rPr/>
        <w:t>(UG)</w:t>
      </w:r>
      <w:r>
        <w:rPr>
          <w:spacing w:val="-12"/>
        </w:rPr>
        <w:t> </w:t>
      </w:r>
      <w:r>
        <w:rPr/>
        <w:t>2024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57"/>
        </w:rPr>
        <w:t> </w:t>
      </w:r>
      <w:r>
        <w:rPr/>
        <w:t>processed as per the</w:t>
      </w:r>
      <w:r>
        <w:rPr>
          <w:spacing w:val="-1"/>
        </w:rPr>
        <w:t> </w:t>
      </w:r>
      <w:r>
        <w:rPr/>
        <w:t>established procedure.</w:t>
      </w:r>
    </w:p>
    <w:p>
      <w:pPr>
        <w:spacing w:after="0" w:line="276" w:lineRule="auto"/>
        <w:jc w:val="both"/>
        <w:sectPr>
          <w:pgSz w:w="12240" w:h="15840"/>
          <w:pgMar w:header="473" w:footer="1314" w:top="2560" w:bottom="1500" w:left="1340" w:right="1320"/>
        </w:sectPr>
      </w:pPr>
    </w:p>
    <w:p>
      <w:pPr>
        <w:pStyle w:val="BodyText"/>
        <w:spacing w:line="276" w:lineRule="auto" w:before="138"/>
        <w:ind w:left="460" w:right="117"/>
        <w:jc w:val="both"/>
      </w:pPr>
      <w:r>
        <w:rPr/>
        <w:t>NTA has a set procedure of transparency adopted across all its examinations. Necessary</w:t>
      </w:r>
      <w:r>
        <w:rPr>
          <w:spacing w:val="1"/>
        </w:rPr>
        <w:t> </w:t>
      </w:r>
      <w:r>
        <w:rPr/>
        <w:t>information is shared with the candidates through Advance City Intimation, Admit Card,</w:t>
      </w:r>
      <w:r>
        <w:rPr>
          <w:spacing w:val="1"/>
        </w:rPr>
        <w:t> </w:t>
      </w:r>
      <w:r>
        <w:rPr/>
        <w:t>Advisories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examination,</w:t>
      </w:r>
      <w:r>
        <w:rPr>
          <w:spacing w:val="-6"/>
        </w:rPr>
        <w:t> </w:t>
      </w:r>
      <w:r>
        <w:rPr/>
        <w:t>display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scanned</w:t>
      </w:r>
      <w:r>
        <w:rPr>
          <w:spacing w:val="-6"/>
        </w:rPr>
        <w:t> </w:t>
      </w: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OMRs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recorded</w:t>
      </w:r>
      <w:r>
        <w:rPr>
          <w:spacing w:val="-6"/>
        </w:rPr>
        <w:t> </w:t>
      </w:r>
      <w:r>
        <w:rPr/>
        <w:t>responses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candidates,</w:t>
      </w:r>
      <w:r>
        <w:rPr>
          <w:spacing w:val="-5"/>
        </w:rPr>
        <w:t> </w:t>
      </w:r>
      <w:r>
        <w:rPr/>
        <w:t>inviting</w:t>
      </w:r>
      <w:r>
        <w:rPr>
          <w:spacing w:val="-4"/>
        </w:rPr>
        <w:t> </w:t>
      </w:r>
      <w:r>
        <w:rPr/>
        <w:t>objections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Provisional</w:t>
      </w:r>
      <w:r>
        <w:rPr>
          <w:spacing w:val="-4"/>
        </w:rPr>
        <w:t> </w:t>
      </w:r>
      <w:r>
        <w:rPr/>
        <w:t>Answer</w:t>
      </w:r>
      <w:r>
        <w:rPr>
          <w:spacing w:val="-5"/>
        </w:rPr>
        <w:t> </w:t>
      </w:r>
      <w:r>
        <w:rPr/>
        <w:t>Keys,</w:t>
      </w:r>
      <w:r>
        <w:rPr>
          <w:spacing w:val="-4"/>
        </w:rPr>
        <w:t> </w:t>
      </w:r>
      <w:r>
        <w:rPr/>
        <w:t>publishing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Answer</w:t>
      </w:r>
      <w:r>
        <w:rPr>
          <w:spacing w:val="-5"/>
        </w:rPr>
        <w:t> </w:t>
      </w:r>
      <w:r>
        <w:rPr/>
        <w:t>Keys</w:t>
      </w:r>
      <w:r>
        <w:rPr>
          <w:spacing w:val="-5"/>
        </w:rPr>
        <w:t> </w:t>
      </w:r>
      <w:r>
        <w:rPr/>
        <w:t>on</w:t>
      </w:r>
      <w:r>
        <w:rPr>
          <w:spacing w:val="-57"/>
        </w:rPr>
        <w:t> </w:t>
      </w:r>
      <w:r>
        <w:rPr/>
        <w:t>the</w:t>
      </w:r>
      <w:r>
        <w:rPr>
          <w:spacing w:val="-12"/>
        </w:rPr>
        <w:t> </w:t>
      </w:r>
      <w:r>
        <w:rPr/>
        <w:t>Official</w:t>
      </w:r>
      <w:r>
        <w:rPr>
          <w:spacing w:val="-11"/>
        </w:rPr>
        <w:t> </w:t>
      </w:r>
      <w:r>
        <w:rPr/>
        <w:t>website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sending</w:t>
      </w:r>
      <w:r>
        <w:rPr>
          <w:spacing w:val="-11"/>
        </w:rPr>
        <w:t> </w:t>
      </w:r>
      <w:r>
        <w:rPr/>
        <w:t>scanned</w:t>
      </w:r>
      <w:r>
        <w:rPr>
          <w:spacing w:val="-11"/>
        </w:rPr>
        <w:t> </w:t>
      </w:r>
      <w:r>
        <w:rPr/>
        <w:t>OMR</w:t>
      </w:r>
      <w:r>
        <w:rPr>
          <w:spacing w:val="-11"/>
        </w:rPr>
        <w:t> </w:t>
      </w:r>
      <w:r>
        <w:rPr/>
        <w:t>Answer</w:t>
      </w:r>
      <w:r>
        <w:rPr>
          <w:spacing w:val="-11"/>
        </w:rPr>
        <w:t> </w:t>
      </w:r>
      <w:r>
        <w:rPr/>
        <w:t>Sheets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Score</w:t>
      </w:r>
      <w:r>
        <w:rPr>
          <w:spacing w:val="-13"/>
        </w:rPr>
        <w:t> </w:t>
      </w:r>
      <w:r>
        <w:rPr/>
        <w:t>Card</w:t>
      </w:r>
      <w:r>
        <w:rPr>
          <w:spacing w:val="-12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emails.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60" w:right="115"/>
        <w:jc w:val="both"/>
      </w:pPr>
      <w:r>
        <w:rPr/>
        <w:t>Further,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candidates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briefings/press</w:t>
      </w:r>
      <w:r>
        <w:rPr>
          <w:spacing w:val="-1"/>
        </w:rPr>
        <w:t> </w:t>
      </w:r>
      <w:r>
        <w:rPr/>
        <w:t>releases.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has been adopted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NEET</w:t>
      </w:r>
      <w:r>
        <w:rPr>
          <w:spacing w:val="1"/>
        </w:rPr>
        <w:t> </w:t>
      </w:r>
      <w:r>
        <w:rPr/>
        <w:t>(UG)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Regarding</w:t>
      </w:r>
      <w:r>
        <w:rPr>
          <w:spacing w:val="-2"/>
        </w:rPr>
        <w:t> </w:t>
      </w:r>
      <w:r>
        <w:rPr/>
        <w:t>Unfair</w:t>
      </w:r>
      <w:r>
        <w:rPr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cases</w:t>
      </w:r>
    </w:p>
    <w:p>
      <w:pPr>
        <w:pStyle w:val="BodyText"/>
        <w:spacing w:line="276" w:lineRule="auto" w:before="41"/>
        <w:ind w:left="460" w:right="122"/>
        <w:jc w:val="both"/>
      </w:pPr>
      <w:r>
        <w:rPr/>
        <w:t>Action</w:t>
      </w:r>
      <w:r>
        <w:rPr>
          <w:spacing w:val="-6"/>
        </w:rPr>
        <w:t> </w:t>
      </w:r>
      <w:r>
        <w:rPr/>
        <w:t>taken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UFM</w:t>
      </w:r>
      <w:r>
        <w:rPr>
          <w:spacing w:val="-4"/>
        </w:rPr>
        <w:t> </w:t>
      </w:r>
      <w:r>
        <w:rPr/>
        <w:t>cases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rules,</w:t>
      </w:r>
      <w:r>
        <w:rPr>
          <w:spacing w:val="-6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cancellation</w:t>
      </w:r>
      <w:r>
        <w:rPr>
          <w:spacing w:val="-6"/>
        </w:rPr>
        <w:t> </w:t>
      </w:r>
      <w:r>
        <w:rPr/>
        <w:t>of</w:t>
      </w:r>
      <w:r>
        <w:rPr>
          <w:spacing w:val="-57"/>
        </w:rPr>
        <w:t> </w:t>
      </w:r>
      <w:r>
        <w:rPr/>
        <w:t>candidature and debarment from future</w:t>
      </w:r>
      <w:r>
        <w:rPr>
          <w:spacing w:val="-2"/>
        </w:rPr>
        <w:t> </w:t>
      </w:r>
      <w:r>
        <w:rPr/>
        <w:t>examinations of NTA.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460" w:right="124"/>
        <w:jc w:val="both"/>
      </w:pPr>
      <w:r>
        <w:rPr/>
        <w:t>NTA has registered cases against impersonators and some cases have been registered by 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Police.</w:t>
      </w:r>
      <w:r>
        <w:rPr>
          <w:spacing w:val="1"/>
        </w:rPr>
        <w:t> </w:t>
      </w:r>
      <w:r>
        <w:rPr/>
        <w:t>NTA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extending</w:t>
      </w:r>
      <w:r>
        <w:rPr>
          <w:spacing w:val="1"/>
        </w:rPr>
        <w:t> </w:t>
      </w:r>
      <w:r>
        <w:rPr/>
        <w:t>support,</w:t>
      </w:r>
      <w:r>
        <w:rPr>
          <w:spacing w:val="1"/>
        </w:rPr>
        <w:t> </w:t>
      </w:r>
      <w:r>
        <w:rPr/>
        <w:t>wherever</w:t>
      </w:r>
      <w:r>
        <w:rPr>
          <w:spacing w:val="1"/>
        </w:rPr>
        <w:t> </w:t>
      </w:r>
      <w:r>
        <w:rPr/>
        <w:t>required,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investigating</w:t>
      </w:r>
      <w:r>
        <w:rPr>
          <w:spacing w:val="-1"/>
        </w:rPr>
        <w:t> </w:t>
      </w:r>
      <w:r>
        <w:rPr/>
        <w:t>cases pertaining to NEET (UG) 2024.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60" w:right="118"/>
        <w:jc w:val="both"/>
      </w:pPr>
      <w:r>
        <w:rPr/>
        <w:t>While the outcome of the investigation in aforesaid cases is awaited, NTA has categorically</w:t>
      </w:r>
      <w:r>
        <w:rPr>
          <w:spacing w:val="1"/>
        </w:rPr>
        <w:t> </w:t>
      </w:r>
      <w:r>
        <w:rPr/>
        <w:t>denied any case of paper leak. NTA also issued a detailed Press Release on 06 May 2024</w:t>
      </w:r>
      <w:r>
        <w:rPr>
          <w:spacing w:val="1"/>
        </w:rPr>
        <w:t> </w:t>
      </w:r>
      <w:r>
        <w:rPr/>
        <w:t>stating that there has not been any paper leak as was being circulated on social media. The</w:t>
      </w:r>
      <w:r>
        <w:rPr>
          <w:spacing w:val="1"/>
        </w:rPr>
        <w:t> </w:t>
      </w:r>
      <w:r>
        <w:rPr/>
        <w:t>same stand has been reiterated and NTA maintains that the integrity of the examination was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compromised.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5321300</wp:posOffset>
            </wp:positionH>
            <wp:positionV relativeFrom="paragraph">
              <wp:posOffset>211979</wp:posOffset>
            </wp:positionV>
            <wp:extent cx="1066799" cy="31432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59" w:lineRule="auto" w:before="7"/>
        <w:ind w:left="6941" w:right="374" w:hanging="200"/>
        <w:jc w:val="right"/>
      </w:pPr>
      <w:r>
        <w:rPr/>
        <w:t>(Dr. Sadhana Parashar)</w:t>
      </w:r>
      <w:r>
        <w:rPr>
          <w:spacing w:val="-57"/>
        </w:rPr>
        <w:t> </w:t>
      </w:r>
      <w:r>
        <w:rPr/>
        <w:t>Senior</w:t>
      </w:r>
      <w:r>
        <w:rPr>
          <w:spacing w:val="-2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NTA</w:t>
      </w:r>
    </w:p>
    <w:sectPr>
      <w:pgSz w:w="12240" w:h="15840"/>
      <w:pgMar w:header="473" w:footer="1314" w:top="2560" w:bottom="15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Nirmala UI">
    <w:altName w:val="Nirmala UI"/>
    <w:charset w:val="1"/>
    <w:family w:val="swiss"/>
    <w:pitch w:val="variable"/>
  </w:font>
  <w:font w:name="Nirmala UI Semilight">
    <w:altName w:val="Nirmala UI Semiligh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872">
          <wp:simplePos x="0" y="0"/>
          <wp:positionH relativeFrom="page">
            <wp:posOffset>6496216</wp:posOffset>
          </wp:positionH>
          <wp:positionV relativeFrom="page">
            <wp:posOffset>9120060</wp:posOffset>
          </wp:positionV>
          <wp:extent cx="744626" cy="535910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626" cy="53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590056</wp:posOffset>
          </wp:positionH>
          <wp:positionV relativeFrom="page">
            <wp:posOffset>9231258</wp:posOffset>
          </wp:positionV>
          <wp:extent cx="733904" cy="327459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904" cy="327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11584" from="30.049999pt,713.051025pt" to="576.049999pt,713.051025pt" stroked="true" strokeweight="1.5pt" strokecolor="#00af50">
          <v:stroke dashstyle="solid"/>
          <w10:wrap type="none"/>
        </v:line>
      </w:pict>
    </w:r>
    <w:r>
      <w:rPr/>
      <w:pict>
        <v:shape style="position:absolute;margin-left:121.18pt;margin-top:720.526733pt;width:28.75pt;height:16.7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Nirmala UI" w:hAnsi="Nirmala UI" w:cs="Nirmala UI" w:eastAsia="Nirmala U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Nirmala UI" w:hAnsi="Nirmala UI" w:cs="Nirmala UI" w:eastAsia="Nirmala UI"/>
                    <w:b/>
                    <w:bCs/>
                    <w:spacing w:val="-2"/>
                    <w:w w:val="100"/>
                    <w:sz w:val="22"/>
                    <w:szCs w:val="22"/>
                  </w:rPr>
                  <w:t>स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-1"/>
                    <w:w w:val="77"/>
                    <w:sz w:val="22"/>
                    <w:szCs w:val="22"/>
                  </w:rPr>
                  <w:t>म्प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-73"/>
                    <w:w w:val="170"/>
                    <w:sz w:val="22"/>
                    <w:szCs w:val="22"/>
                  </w:rPr>
                  <w:t>र्</w:t>
                </w:r>
              </w:p>
            </w:txbxContent>
          </v:textbox>
          <w10:wrap type="none"/>
        </v:shape>
      </w:pict>
    </w:r>
    <w:r>
      <w:rPr/>
      <w:pict>
        <v:shape style="position:absolute;margin-left:147.924576pt;margin-top:720.526733pt;width:354.75pt;height:37.2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Nirmala UI" w:hAnsi="Nirmala UI" w:cs="Nirmala UI" w:eastAsia="Nirmala UI"/>
                    <w:b/>
                    <w:bCs/>
                    <w:w w:val="40"/>
                    <w:position w:val="2"/>
                    <w:sz w:val="22"/>
                    <w:szCs w:val="22"/>
                  </w:rPr>
                  <w:t>क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52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ascii="Nirmala UI" w:hAnsi="Nirmala UI" w:cs="Nirmala UI" w:eastAsia="Nirmala UI"/>
                    <w:b/>
                    <w:bCs/>
                    <w:w w:val="90"/>
                    <w:position w:val="2"/>
                    <w:sz w:val="22"/>
                    <w:szCs w:val="22"/>
                  </w:rPr>
                  <w:t>सूत्र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2"/>
                    <w:w w:val="9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w w:val="90"/>
                    <w:position w:val="2"/>
                    <w:sz w:val="22"/>
                    <w:szCs w:val="22"/>
                  </w:rPr>
                  <w:t>/</w:t>
                </w:r>
                <w:r>
                  <w:rPr>
                    <w:b/>
                    <w:bCs/>
                    <w:spacing w:val="11"/>
                    <w:w w:val="9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w w:val="90"/>
                    <w:position w:val="2"/>
                    <w:sz w:val="22"/>
                    <w:szCs w:val="22"/>
                  </w:rPr>
                  <w:t>Helpline</w:t>
                </w:r>
                <w:r>
                  <w:rPr>
                    <w:b/>
                    <w:bCs/>
                    <w:spacing w:val="10"/>
                    <w:w w:val="9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w w:val="90"/>
                    <w:position w:val="2"/>
                    <w:sz w:val="22"/>
                    <w:szCs w:val="22"/>
                  </w:rPr>
                  <w:t>Number:</w:t>
                </w:r>
                <w:r>
                  <w:rPr>
                    <w:b/>
                    <w:bCs/>
                    <w:spacing w:val="9"/>
                    <w:w w:val="9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w w:val="90"/>
                    <w:position w:val="2"/>
                    <w:sz w:val="22"/>
                    <w:szCs w:val="22"/>
                  </w:rPr>
                  <w:t>+91-11-40759000,</w:t>
                </w:r>
                <w:r>
                  <w:rPr>
                    <w:b/>
                    <w:bCs/>
                    <w:spacing w:val="7"/>
                    <w:w w:val="9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ascii="Nirmala UI Semilight" w:hAnsi="Nirmala UI Semilight" w:cs="Nirmala UI Semilight" w:eastAsia="Nirmala UI Semilight"/>
                    <w:w w:val="90"/>
                    <w:position w:val="2"/>
                    <w:sz w:val="28"/>
                    <w:szCs w:val="28"/>
                  </w:rPr>
                  <w:t>अण-</w:t>
                </w:r>
                <w:r>
                  <w:rPr>
                    <w:rFonts w:ascii="Nirmala UI Semilight" w:hAnsi="Nirmala UI Semilight" w:cs="Nirmala UI Semilight" w:eastAsia="Nirmala UI Semilight"/>
                    <w:w w:val="90"/>
                    <w:sz w:val="28"/>
                    <w:szCs w:val="28"/>
                  </w:rPr>
                  <w:t>ु</w:t>
                </w:r>
                <w:r>
                  <w:rPr>
                    <w:rFonts w:ascii="Nirmala UI Semilight" w:hAnsi="Nirmala UI Semilight" w:cs="Nirmala UI Semilight" w:eastAsia="Nirmala UI Semilight"/>
                    <w:spacing w:val="5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Nirmala UI Semilight" w:hAnsi="Nirmala UI Semilight" w:cs="Nirmala UI Semilight" w:eastAsia="Nirmala UI Semilight"/>
                    <w:w w:val="90"/>
                    <w:position w:val="2"/>
                    <w:sz w:val="28"/>
                    <w:szCs w:val="28"/>
                  </w:rPr>
                  <w:t>डाक</w:t>
                </w:r>
                <w:r>
                  <w:rPr>
                    <w:rFonts w:ascii="Nirmala UI Semilight" w:hAnsi="Nirmala UI Semilight" w:cs="Nirmala UI Semilight" w:eastAsia="Nirmala UI Semilight"/>
                    <w:spacing w:val="-10"/>
                    <w:w w:val="90"/>
                    <w:position w:val="2"/>
                    <w:sz w:val="28"/>
                    <w:szCs w:val="28"/>
                  </w:rPr>
                  <w:t> </w:t>
                </w:r>
                <w:r>
                  <w:rPr>
                    <w:rFonts w:ascii="Nirmala UI Semilight" w:hAnsi="Nirmala UI Semilight" w:cs="Nirmala UI Semilight" w:eastAsia="Nirmala UI Semilight"/>
                    <w:w w:val="90"/>
                    <w:position w:val="2"/>
                    <w:sz w:val="24"/>
                    <w:szCs w:val="24"/>
                  </w:rPr>
                  <w:t>/</w:t>
                </w:r>
                <w:r>
                  <w:rPr>
                    <w:rFonts w:ascii="Nirmala UI Semilight" w:hAnsi="Nirmala UI Semilight" w:cs="Nirmala UI Semilight" w:eastAsia="Nirmala UI Semilight"/>
                    <w:spacing w:val="-13"/>
                    <w:w w:val="90"/>
                    <w:position w:val="2"/>
                    <w:sz w:val="24"/>
                    <w:szCs w:val="24"/>
                  </w:rPr>
                  <w:t> </w:t>
                </w:r>
                <w:r>
                  <w:rPr>
                    <w:b/>
                    <w:bCs/>
                    <w:w w:val="90"/>
                    <w:position w:val="2"/>
                    <w:sz w:val="22"/>
                    <w:szCs w:val="22"/>
                  </w:rPr>
                  <w:t>e-mail:</w:t>
                </w:r>
                <w:r>
                  <w:rPr>
                    <w:b/>
                    <w:bCs/>
                    <w:spacing w:val="9"/>
                    <w:w w:val="90"/>
                    <w:position w:val="2"/>
                    <w:sz w:val="22"/>
                    <w:szCs w:val="22"/>
                  </w:rPr>
                  <w:t> </w:t>
                </w:r>
                <w:hyperlink r:id="rId3">
                  <w:r>
                    <w:rPr>
                      <w:b/>
                      <w:bCs/>
                      <w:w w:val="90"/>
                      <w:position w:val="2"/>
                      <w:sz w:val="22"/>
                      <w:szCs w:val="22"/>
                    </w:rPr>
                    <w:t>neet@nta.ac.in</w:t>
                  </w:r>
                </w:hyperlink>
              </w:p>
              <w:p>
                <w:pPr>
                  <w:spacing w:before="78"/>
                  <w:ind w:left="130" w:right="0" w:firstLine="0"/>
                  <w:jc w:val="left"/>
                  <w:rPr>
                    <w:rFonts w:ascii="Trebuchet MS" w:hAnsi="Trebuchet MS" w:cs="Trebuchet MS" w:eastAsia="Trebuchet M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Nirmala UI" w:hAnsi="Nirmala UI" w:cs="Nirmala UI" w:eastAsia="Nirmala UI"/>
                    <w:b/>
                    <w:bCs/>
                    <w:spacing w:val="-2"/>
                    <w:sz w:val="22"/>
                    <w:szCs w:val="22"/>
                  </w:rPr>
                  <w:t>वेबसाइट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-12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/ Website</w:t>
                </w:r>
                <w:r>
                  <w:rPr>
                    <w:b/>
                    <w:bCs/>
                    <w:spacing w:val="-4"/>
                    <w:sz w:val="22"/>
                    <w:szCs w:val="22"/>
                  </w:rPr>
                  <w:t> </w:t>
                </w:r>
                <w:hyperlink r:id="rId4">
                  <w:r>
                    <w:rPr>
                      <w:b/>
                      <w:bCs/>
                      <w:color w:val="0462C1"/>
                      <w:spacing w:val="-1"/>
                      <w:sz w:val="22"/>
                      <w:szCs w:val="22"/>
                      <w:u w:val="single" w:color="0462C1"/>
                    </w:rPr>
                    <w:t>www.nta.ac.in</w:t>
                  </w:r>
                </w:hyperlink>
                <w:r>
                  <w:rPr>
                    <w:b/>
                    <w:bCs/>
                    <w:color w:val="0462C1"/>
                    <w:spacing w:val="-1"/>
                    <w:sz w:val="22"/>
                    <w:szCs w:val="22"/>
                    <w:u w:val="single" w:color="0462C1"/>
                  </w:rPr>
                  <w:t>,</w:t>
                </w:r>
                <w:r>
                  <w:rPr>
                    <w:b/>
                    <w:bCs/>
                    <w:color w:val="0462C1"/>
                    <w:spacing w:val="-12"/>
                    <w:sz w:val="22"/>
                    <w:szCs w:val="22"/>
                    <w:u w:val="single" w:color="0462C1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0462C1"/>
                    <w:spacing w:val="-1"/>
                    <w:sz w:val="22"/>
                    <w:szCs w:val="22"/>
                    <w:u w:val="single" w:color="0462C1"/>
                  </w:rPr>
                  <w:t>https://exams.nta.ac.in/NEET/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863078</wp:posOffset>
          </wp:positionH>
          <wp:positionV relativeFrom="page">
            <wp:posOffset>300554</wp:posOffset>
          </wp:positionV>
          <wp:extent cx="568061" cy="90285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061" cy="902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2336">
          <wp:simplePos x="0" y="0"/>
          <wp:positionH relativeFrom="page">
            <wp:posOffset>2430779</wp:posOffset>
          </wp:positionH>
          <wp:positionV relativeFrom="page">
            <wp:posOffset>433069</wp:posOffset>
          </wp:positionV>
          <wp:extent cx="3136265" cy="71500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36265" cy="71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13632" from="19.799999pt,128.020004pt" to="574.299999pt,128.020004pt" stroked="true" strokeweight="1.5pt" strokecolor="#00af5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984001pt;margin-top:98.148087pt;width:420pt;height:23.3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20"/>
                  <w:ind w:left="19" w:right="13" w:firstLine="0"/>
                  <w:jc w:val="center"/>
                  <w:rPr>
                    <w:rFonts w:ascii="Nirmala UI" w:hAnsi="Nirmala UI" w:cs="Nirmala UI" w:eastAsia="Nirmala UI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color w:val="001F5F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ascii="Nirmala UI" w:hAnsi="Nirmala UI" w:cs="Nirmala UI" w:eastAsia="Nirmala UI"/>
                    <w:color w:val="001F5F"/>
                    <w:w w:val="82"/>
                    <w:sz w:val="18"/>
                    <w:szCs w:val="18"/>
                  </w:rPr>
                  <w:t>उच्</w:t>
                </w:r>
                <w:r>
                  <w:rPr>
                    <w:rFonts w:ascii="Nirmala UI" w:hAnsi="Nirmala UI" w:cs="Nirmala UI" w:eastAsia="Nirmala UI"/>
                    <w:color w:val="001F5F"/>
                    <w:spacing w:val="-1"/>
                    <w:w w:val="82"/>
                    <w:sz w:val="18"/>
                    <w:szCs w:val="18"/>
                  </w:rPr>
                  <w:t>च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तर</w:t>
                </w:r>
                <w:r>
                  <w:rPr>
                    <w:rFonts w:ascii="Nirmala UI" w:hAnsi="Nirmala UI" w:cs="Nirmala UI" w:eastAsia="Nirmala UI"/>
                    <w:color w:val="001F5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pacing w:val="-2"/>
                    <w:w w:val="33"/>
                    <w:sz w:val="18"/>
                    <w:szCs w:val="18"/>
                  </w:rPr>
                  <w:t>श</w:t>
                </w:r>
                <w:r>
                  <w:rPr>
                    <w:rFonts w:ascii="Nirmala UI" w:hAnsi="Nirmala UI" w:cs="Nirmala UI" w:eastAsia="Nirmala UI"/>
                    <w:color w:val="001F5F"/>
                    <w:w w:val="301"/>
                    <w:sz w:val="18"/>
                    <w:szCs w:val="18"/>
                  </w:rPr>
                  <w:t>ि</w:t>
                </w:r>
                <w:r>
                  <w:rPr>
                    <w:rFonts w:ascii="Nirmala UI" w:hAnsi="Nirmala UI" w:cs="Nirmala UI" w:eastAsia="Nirmala UI"/>
                    <w:color w:val="001F5F"/>
                    <w:w w:val="48"/>
                    <w:sz w:val="18"/>
                    <w:szCs w:val="18"/>
                  </w:rPr>
                  <w:t>क्ष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ा</w:t>
                </w:r>
                <w:r>
                  <w:rPr>
                    <w:rFonts w:ascii="Nirmala UI" w:hAnsi="Nirmala UI" w:cs="Nirmala UI" w:eastAsia="Nirmala UI"/>
                    <w:color w:val="001F5F"/>
                    <w:spacing w:val="-7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pacing w:val="1"/>
                    <w:w w:val="33"/>
                    <w:sz w:val="18"/>
                    <w:szCs w:val="18"/>
                  </w:rPr>
                  <w:t>श</w:t>
                </w:r>
                <w:r>
                  <w:rPr>
                    <w:rFonts w:ascii="Nirmala UI" w:hAnsi="Nirmala UI" w:cs="Nirmala UI" w:eastAsia="Nirmala UI"/>
                    <w:color w:val="001F5F"/>
                    <w:w w:val="126"/>
                    <w:sz w:val="18"/>
                    <w:szCs w:val="18"/>
                  </w:rPr>
                  <w:t>िभ</w:t>
                </w:r>
                <w:r>
                  <w:rPr>
                    <w:rFonts w:ascii="Nirmala UI" w:hAnsi="Nirmala UI" w:cs="Nirmala UI" w:eastAsia="Nirmala UI"/>
                    <w:color w:val="001F5F"/>
                    <w:spacing w:val="-1"/>
                    <w:w w:val="126"/>
                    <w:sz w:val="18"/>
                    <w:szCs w:val="18"/>
                  </w:rPr>
                  <w:t>ा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ग</w:t>
                </w:r>
                <w:r>
                  <w:rPr>
                    <w:rFonts w:ascii="Arial MT" w:hAnsi="Arial MT" w:cs="Arial MT" w:eastAsia="Arial MT"/>
                    <w:color w:val="001F5F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 MT" w:hAnsi="Arial MT" w:cs="Arial MT" w:eastAsia="Arial MT"/>
                    <w:color w:val="001F5F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pacing w:val="-2"/>
                    <w:w w:val="33"/>
                    <w:sz w:val="18"/>
                    <w:szCs w:val="18"/>
                  </w:rPr>
                  <w:t>श</w:t>
                </w:r>
                <w:r>
                  <w:rPr>
                    <w:rFonts w:ascii="Nirmala UI" w:hAnsi="Nirmala UI" w:cs="Nirmala UI" w:eastAsia="Nirmala UI"/>
                    <w:color w:val="001F5F"/>
                    <w:w w:val="301"/>
                    <w:sz w:val="18"/>
                    <w:szCs w:val="18"/>
                  </w:rPr>
                  <w:t>ि</w:t>
                </w:r>
                <w:r>
                  <w:rPr>
                    <w:rFonts w:ascii="Nirmala UI" w:hAnsi="Nirmala UI" w:cs="Nirmala UI" w:eastAsia="Nirmala UI"/>
                    <w:color w:val="001F5F"/>
                    <w:w w:val="48"/>
                    <w:sz w:val="18"/>
                    <w:szCs w:val="18"/>
                  </w:rPr>
                  <w:t>क्ष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ा</w:t>
                </w:r>
                <w:r>
                  <w:rPr>
                    <w:rFonts w:ascii="Nirmala UI" w:hAnsi="Nirmala UI" w:cs="Nirmala UI" w:eastAsia="Nirmala UI"/>
                    <w:color w:val="001F5F"/>
                    <w:spacing w:val="-7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pacing w:val="-4"/>
                    <w:sz w:val="18"/>
                    <w:szCs w:val="18"/>
                  </w:rPr>
                  <w:t>म</w:t>
                </w:r>
                <w:r>
                  <w:rPr>
                    <w:rFonts w:ascii="Nirmala UI" w:hAnsi="Nirmala UI" w:cs="Nirmala UI" w:eastAsia="Nirmala UI"/>
                    <w:color w:val="001F5F"/>
                    <w:spacing w:val="4"/>
                    <w:sz w:val="18"/>
                    <w:szCs w:val="18"/>
                  </w:rPr>
                  <w:t>ं</w:t>
                </w:r>
                <w:r>
                  <w:rPr>
                    <w:rFonts w:ascii="Nirmala UI" w:hAnsi="Nirmala UI" w:cs="Nirmala UI" w:eastAsia="Nirmala UI"/>
                    <w:color w:val="001F5F"/>
                    <w:spacing w:val="-1"/>
                    <w:w w:val="61"/>
                    <w:sz w:val="18"/>
                    <w:szCs w:val="18"/>
                  </w:rPr>
                  <w:t>त्र</w:t>
                </w:r>
                <w:r>
                  <w:rPr>
                    <w:rFonts w:ascii="Nirmala UI" w:hAnsi="Nirmala UI" w:cs="Nirmala UI" w:eastAsia="Nirmala UI"/>
                    <w:color w:val="001F5F"/>
                    <w:spacing w:val="-2"/>
                    <w:w w:val="61"/>
                    <w:sz w:val="18"/>
                    <w:szCs w:val="18"/>
                  </w:rPr>
                  <w:t>ा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ल</w:t>
                </w:r>
                <w:r>
                  <w:rPr>
                    <w:rFonts w:ascii="Nirmala UI" w:hAnsi="Nirmala UI" w:cs="Nirmala UI" w:eastAsia="Nirmala UI"/>
                    <w:color w:val="001F5F"/>
                    <w:spacing w:val="1"/>
                    <w:sz w:val="18"/>
                    <w:szCs w:val="18"/>
                  </w:rPr>
                  <w:t>य</w:t>
                </w:r>
                <w:r>
                  <w:rPr>
                    <w:rFonts w:ascii="Arial MT" w:hAnsi="Arial MT" w:cs="Arial MT" w:eastAsia="Arial MT"/>
                    <w:color w:val="001F5F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 MT" w:hAnsi="Arial MT" w:cs="Arial MT" w:eastAsia="Arial MT"/>
                    <w:color w:val="001F5F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भ</w:t>
                </w:r>
                <w:r>
                  <w:rPr>
                    <w:rFonts w:ascii="Nirmala UI" w:hAnsi="Nirmala UI" w:cs="Nirmala UI" w:eastAsia="Nirmala UI"/>
                    <w:color w:val="001F5F"/>
                    <w:spacing w:val="-2"/>
                    <w:sz w:val="18"/>
                    <w:szCs w:val="18"/>
                  </w:rPr>
                  <w:t>ा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रत</w:t>
                </w:r>
                <w:r>
                  <w:rPr>
                    <w:rFonts w:ascii="Nirmala UI" w:hAnsi="Nirmala UI" w:cs="Nirmala UI" w:eastAsia="Nirmala UI"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pacing w:val="-1"/>
                    <w:sz w:val="18"/>
                    <w:szCs w:val="18"/>
                  </w:rPr>
                  <w:t>स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रक</w:t>
                </w:r>
                <w:r>
                  <w:rPr>
                    <w:rFonts w:ascii="Nirmala UI" w:hAnsi="Nirmala UI" w:cs="Nirmala UI" w:eastAsia="Nirmala UI"/>
                    <w:color w:val="001F5F"/>
                    <w:spacing w:val="-2"/>
                    <w:sz w:val="18"/>
                    <w:szCs w:val="18"/>
                  </w:rPr>
                  <w:t>ा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र</w:t>
                </w:r>
                <w:r>
                  <w:rPr>
                    <w:rFonts w:ascii="Nirmala UI" w:hAnsi="Nirmala UI" w:cs="Nirmala UI" w:eastAsia="Nirmala UI"/>
                    <w:color w:val="001F5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pacing w:val="-60"/>
                    <w:sz w:val="18"/>
                    <w:szCs w:val="18"/>
                  </w:rPr>
                  <w:t>क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े</w:t>
                </w:r>
                <w:r>
                  <w:rPr>
                    <w:rFonts w:ascii="Nirmala UI" w:hAnsi="Nirmala UI" w:cs="Nirmala UI" w:eastAsia="Nirmala UI"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तहत</w:t>
                </w:r>
                <w:r>
                  <w:rPr>
                    <w:rFonts w:ascii="Nirmala UI" w:hAnsi="Nirmala UI" w:cs="Nirmala UI" w:eastAsia="Nirmala UI"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एक</w:t>
                </w:r>
                <w:r>
                  <w:rPr>
                    <w:rFonts w:ascii="Nirmala UI" w:hAnsi="Nirmala UI" w:cs="Nirmala UI" w:eastAsia="Nirmala UI"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w w:val="81"/>
                    <w:sz w:val="18"/>
                    <w:szCs w:val="18"/>
                  </w:rPr>
                  <w:t>स्व</w:t>
                </w:r>
                <w:r>
                  <w:rPr>
                    <w:rFonts w:ascii="Nirmala UI" w:hAnsi="Nirmala UI" w:cs="Nirmala UI" w:eastAsia="Nirmala UI"/>
                    <w:color w:val="001F5F"/>
                    <w:spacing w:val="-1"/>
                    <w:w w:val="81"/>
                    <w:sz w:val="18"/>
                    <w:szCs w:val="18"/>
                  </w:rPr>
                  <w:t>ा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य</w:t>
                </w:r>
                <w:r>
                  <w:rPr>
                    <w:rFonts w:ascii="Nirmala UI" w:hAnsi="Nirmala UI" w:cs="Nirmala UI" w:eastAsia="Nirmala UI"/>
                    <w:color w:val="001F5F"/>
                    <w:w w:val="56"/>
                    <w:sz w:val="18"/>
                    <w:szCs w:val="18"/>
                  </w:rPr>
                  <w:t>त्त</w:t>
                </w:r>
                <w:r>
                  <w:rPr>
                    <w:rFonts w:ascii="Nirmala UI" w:hAnsi="Nirmala UI" w:cs="Nirmala UI" w:eastAsia="Nirmala UI"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Nirmala UI" w:hAnsi="Nirmala UI" w:cs="Nirmala UI" w:eastAsia="Nirmala UI"/>
                    <w:color w:val="001F5F"/>
                    <w:spacing w:val="-5"/>
                    <w:sz w:val="18"/>
                    <w:szCs w:val="18"/>
                  </w:rPr>
                  <w:t>स</w:t>
                </w:r>
                <w:r>
                  <w:rPr>
                    <w:rFonts w:ascii="Nirmala UI" w:hAnsi="Nirmala UI" w:cs="Nirmala UI" w:eastAsia="Nirmala UI"/>
                    <w:color w:val="001F5F"/>
                    <w:spacing w:val="4"/>
                    <w:sz w:val="18"/>
                    <w:szCs w:val="18"/>
                  </w:rPr>
                  <w:t>ं</w:t>
                </w:r>
                <w:r>
                  <w:rPr>
                    <w:rFonts w:ascii="Nirmala UI" w:hAnsi="Nirmala UI" w:cs="Nirmala UI" w:eastAsia="Nirmala UI"/>
                    <w:color w:val="001F5F"/>
                    <w:sz w:val="18"/>
                    <w:szCs w:val="18"/>
                  </w:rPr>
                  <w:t>गठ</w:t>
                </w:r>
                <w:r>
                  <w:rPr>
                    <w:rFonts w:ascii="Nirmala UI" w:hAnsi="Nirmala UI" w:cs="Nirmala UI" w:eastAsia="Nirmala UI"/>
                    <w:color w:val="001F5F"/>
                    <w:spacing w:val="1"/>
                    <w:sz w:val="18"/>
                    <w:szCs w:val="18"/>
                  </w:rPr>
                  <w:t>न</w:t>
                </w:r>
                <w:r>
                  <w:rPr>
                    <w:rFonts w:ascii="Nirmala UI" w:hAnsi="Nirmala UI" w:cs="Nirmala UI" w:eastAsia="Nirmala UI"/>
                    <w:color w:val="001F5F"/>
                    <w:w w:val="100"/>
                    <w:sz w:val="16"/>
                    <w:szCs w:val="16"/>
                  </w:rPr>
                  <w:t>)</w:t>
                </w:r>
              </w:p>
              <w:p>
                <w:pPr>
                  <w:spacing w:before="1"/>
                  <w:ind w:left="19" w:right="19" w:firstLine="0"/>
                  <w:jc w:val="center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001F5F"/>
                    <w:sz w:val="16"/>
                  </w:rPr>
                  <w:t>(An</w:t>
                </w:r>
                <w:r>
                  <w:rPr>
                    <w:rFonts w:ascii="Arial MT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Autonomous</w:t>
                </w:r>
                <w:r>
                  <w:rPr>
                    <w:rFonts w:ascii="Arial MT"/>
                    <w:color w:val="001F5F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Organization</w:t>
                </w:r>
                <w:r>
                  <w:rPr>
                    <w:rFonts w:ascii="Arial MT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under</w:t>
                </w:r>
                <w:r>
                  <w:rPr>
                    <w:rFonts w:ascii="Arial MT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the Department</w:t>
                </w:r>
                <w:r>
                  <w:rPr>
                    <w:rFonts w:ascii="Arial MT"/>
                    <w:color w:val="001F5F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of</w:t>
                </w:r>
                <w:r>
                  <w:rPr>
                    <w:rFonts w:ascii="Arial MT"/>
                    <w:color w:val="001F5F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Higher</w:t>
                </w:r>
                <w:r>
                  <w:rPr>
                    <w:rFonts w:ascii="Arial MT"/>
                    <w:color w:val="001F5F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Education,</w:t>
                </w:r>
                <w:r>
                  <w:rPr>
                    <w:rFonts w:ascii="Arial MT"/>
                    <w:color w:val="001F5F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Ministry of</w:t>
                </w:r>
                <w:r>
                  <w:rPr>
                    <w:rFonts w:ascii="Arial MT"/>
                    <w:color w:val="001F5F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Education,</w:t>
                </w:r>
                <w:r>
                  <w:rPr>
                    <w:rFonts w:ascii="Arial MT"/>
                    <w:color w:val="001F5F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Government</w:t>
                </w:r>
                <w:r>
                  <w:rPr>
                    <w:rFonts w:ascii="Arial MT"/>
                    <w:color w:val="001F5F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of</w:t>
                </w:r>
                <w:r>
                  <w:rPr>
                    <w:rFonts w:ascii="Arial MT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color w:val="001F5F"/>
                    <w:sz w:val="16"/>
                  </w:rPr>
                  <w:t>India)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289" w:right="22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hyperlink" Target="mailto:neet@nta.ac.in" TargetMode="External"/><Relationship Id="rId4" Type="http://schemas.openxmlformats.org/officeDocument/2006/relationships/hyperlink" Target="http://www.nta.ac.in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sarikasoam07@gmail.com</dc:creator>
  <dcterms:created xsi:type="dcterms:W3CDTF">2024-06-06T17:36:22Z</dcterms:created>
  <dcterms:modified xsi:type="dcterms:W3CDTF">2024-06-06T17:36:22Z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</Properties>
</file>